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EAAAA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EAAAA" w:val="clear"/>
        </w:rPr>
        <w:t xml:space="preserve">NOTA DE ORIENTAÇÃO TÉCNICA Nº 002/2018 –ASTEC/CGM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100" w:line="240"/>
        <w:ind w:right="0" w:left="2835" w:firstLine="0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Assunto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Orientação quanto a Prorrogação de Contratos de Fornecimento de Material de Consumo.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1.As disposições 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Lei nº 8.666/93 admite a Prorrogação dos contratos administrativos, excepcionalmente, nas hipóteses elencadas no art. 57, a qual impõe como regra geral que “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a duração dos contratos fica vinculada à vigência dos respectivos créditos orçamentários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”. Tal artigo recepcionou um dos princípios clássicos do orçamento público.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2. A Constituição Federal 1988 (CF/88) dispõe, na Seção II, intitulada “Dos Orçamentos”, Capítulo II, Título IV, nos artigos 165 a 169, diversos princípios orçamentários, entre eles o da anualidade orçamentária, o qual determina que todos os créditos orçamentários, ordinários ou adicionais, deverão ter vigência no exercício financeiro, coincidente com o ano civil (1 de janeiro a 31 de dezembro) estabelecido na Lei 4.320/64, com exceção, aos créditos especiais e extraordinários quando aberto nos últimos quatro meses do exercício financeiro.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0" w:line="240"/>
        <w:ind w:right="0" w:left="0" w:firstLine="142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3. Tal princípio está inserido no âmbito do processo de planejamento do setor público. Conceitualmente, o orçamento público é um documento que contém as previsões da arrecadação de receitas e de gastos dos governos para certo período de tempo. 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4"/>
          <w:shd w:fill="FFFFFF" w:val="clear"/>
        </w:rPr>
        <w:t xml:space="preserve"> 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0" w:line="240"/>
        <w:ind w:right="0" w:left="0" w:firstLine="1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4. Analisando a distinção jurídica entre princípios e regras, a anualidade orçamentária, por ser princípio, precisa estar sintonizada com outros princípios constitucionais como o da eficiência, da continuidade, da economicidade e da plurianualidade de investimentos. Logo, os princípios da anualidade, eficiência, economicidade e da continuidade devem coexistir de forma harmônica, evitando o sacrifício de um em relação ao outro. Neste sentido Canotilho³ expoe que: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0" w:line="240"/>
        <w:ind w:right="0" w:left="283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O campo de eleição do princípio da concordância prática tem sido até agora o dos direitos fundamentais (colisão entre direito fundamentais ou entre direitos fundamentais e bens jurídicos constitucionalmente protegidos). Subjacente a este princípio está a ideia do igual valor dos bens constitucionais (e não uma diferença de hierarquia) que impede, como solução, o sacrifício de uns em relação aos outros, e impõe o estabelecimento de limites e condicionamentos recíprocos de forma a conseguir uma harmonização ou concordância prática entre estes bens.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10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5. O Supremo Tribunal Federal na Ação de Descumprimento de Preceitos Fundamentais nº 101, referente à importação de pneus usados, alegou ofensa aos princípios da livre concorrência e da livre iniciativa, preponderando, porém, os princípios da saúde e do meio ambiente ecologicamente equilibrado. Assim, entendemos que nenhum princípio é absoluto a ponto de anular os demais. Dessa forma, o princípio da anualidade deve harmonizar-se com os demais princípios existentes no ordenamento jurídico brasileiro, em especial os da eficiência, economicidade, o da continuidade do serviço público, do interesse público dentre outros.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6. Considerando que a “previsão” ou “indicação” de recursos orçamentários são aptos a instaurar o processo licitatório, entendemos que existindo no Termo de Aditamento do Contrato a “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previsão ou indicação de recursos orçamentários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”, aptos a identificar a verba que responderá pela despesa para a aquisição de produtos para o ano subsequente em caso de prorrogação do contrato, atenderia suficientemente às exigências da Lei de Licitações e Contratos Administrativos, flexibilizando assim o princípio orçamentário.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333333"/>
          <w:spacing w:val="0"/>
          <w:position w:val="0"/>
          <w:sz w:val="24"/>
          <w:shd w:fill="FFFFFF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7. Superada a exigência constante no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FFFFFF" w:val="clear"/>
        </w:rPr>
        <w:t xml:space="preserve">caput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do art. 57, analisemos as hipóteses excepcionais de prorrogação dos contratos administrativos, quais sejam:</w:t>
      </w:r>
    </w:p>
    <w:p>
      <w:pPr>
        <w:spacing w:before="100" w:after="100" w:line="240"/>
        <w:ind w:right="0" w:left="22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Art. 57. A duração dos contratos regidos por esta Lei ficará adstrita à vigência dos respectivos créditos orçamentários, exceto quanto aos relativos:</w:t>
      </w:r>
    </w:p>
    <w:p>
      <w:pPr>
        <w:spacing w:before="100" w:after="100" w:line="240"/>
        <w:ind w:right="0" w:left="22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 I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u w:val="single"/>
          <w:shd w:fill="FFFFFF" w:val="clear"/>
        </w:rPr>
        <w:t xml:space="preserve">aos projetos cujos produtos estejam contemplados nas metas estabelecidas no Plano Plurianual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, os quais poderão ser prorrogados se houver interesse da Administração e desde que isso tenha sido previsto no ato convocatório;</w:t>
      </w:r>
    </w:p>
    <w:p>
      <w:pPr>
        <w:spacing w:before="100" w:after="100" w:line="240"/>
        <w:ind w:right="0" w:left="22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 II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u w:val="single"/>
          <w:shd w:fill="FFFFFF" w:val="clear"/>
        </w:rPr>
        <w:t xml:space="preserve">- à prestação de serviços a serem executados de forma contínua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, que poderão ter a sua duração prorrogada por iguais e sucessivos períodos com vistas à obtenção de preços e condições mais vantajosas para a administração, limitada a sessenta meses; (Redação dada pela Lei nº 9.648, de 1998)</w:t>
      </w:r>
    </w:p>
    <w:p>
      <w:pPr>
        <w:spacing w:before="100" w:after="100" w:line="240"/>
        <w:ind w:right="0" w:left="22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 III - (Vetado). (Redação dada pela Lei nº 8.883, de 1994)</w:t>
      </w:r>
    </w:p>
    <w:p>
      <w:pPr>
        <w:spacing w:before="100" w:after="100" w:line="240"/>
        <w:ind w:right="0" w:left="22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 IV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FFFFFF" w:val="clear"/>
        </w:rPr>
        <w:t xml:space="preserve">ao aluguel de equipamentos e à utilização de programas de informática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, podendo a duração estender-se pelo prazo de até 48 (quarenta e oito) meses após o início da vigência do contrato.</w:t>
      </w:r>
    </w:p>
    <w:p>
      <w:pPr>
        <w:spacing w:before="100" w:after="100" w:line="240"/>
        <w:ind w:right="0" w:left="2268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(grifo nosso)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8. Ao analisarmos a Lei nº 8.666/93 vemos que o texto é claro ao admitir a Prorrogação dos contratos administrativos excepcionalmente nas hipóteses elencadas no art. 57, respeitando condições como a vantagem da prorrogação e a previsão editalícia</w:t>
      </w:r>
      <w:r>
        <w:rPr>
          <w:rFonts w:ascii="Times New Roman" w:hAnsi="Times New Roman" w:cs="Times New Roman" w:eastAsia="Times New Roman"/>
          <w:color w:val="666666"/>
          <w:spacing w:val="0"/>
          <w:position w:val="0"/>
          <w:sz w:val="24"/>
          <w:shd w:fill="FFFFFF" w:val="clear"/>
        </w:rPr>
        <w:t xml:space="preserve">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666666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9. Logo, regra geral, aquisição de bens não se enquadra no rol de exceção do art. 57 da Lei nº8.666/93.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10. O Tribunal de Contas da União posicionou-se ao determinar que “deve ser observado atentamente o inciso II do artigo 57 da Lei n° 8.666, de 1993, ao firmar e prorrogar contratos, de forma a somente enquadrar como serviços contínuos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contratos cujos objetos correspondam a obrigações de fazer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e a necessidades permanentes” (Decisão n° 1.136/2002).</w:t>
      </w:r>
    </w:p>
    <w:p>
      <w:pPr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11. Tal entendimento foi reiterado pela Corte de Contas ao longo dos anos (Acórdão 100/2008 – Plenário, a exemplo), e ainda mostra- se vigente, conforme demonstra o Acórdão n° 3891/2011 – Segunda Câmara, onde o Ministro Relator Aroldo Cedraz, afirma que, no caso em apreço, as “prorrogações não observaram que o objeto do contrato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(fornecimento de bens de consumo)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não admitia a realização de prorrogações sucessivas com base no inciso II do art. 57 da Lei 8.666, de 1993”.</w:t>
      </w:r>
    </w:p>
    <w:p>
      <w:pPr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283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“Evite realizar prorrogações indevidas em contratos e observe rigorosamente o disposto no art. 57, inciso II, da Lei no 8.666/1993, considerando que a excepcionalidade de que trata o aludido dispositivo está adstrita à prestação de serviços a serem executados de forma contínua,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FFFFFF" w:val="clear"/>
        </w:rPr>
        <w:t xml:space="preserve">não se aplicando aos contratos de aquisição de bens de consumo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FFFFFF" w:val="clear"/>
        </w:rPr>
        <w:t xml:space="preserve">(Grifou-se). Acórdão 1512/2004 Primeira Câmara”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283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FFFFFF" w:val="clear"/>
        </w:rPr>
      </w:pPr>
    </w:p>
    <w:p>
      <w:pPr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12. Vê-se, portanto, sedimentado o entendimento do Tribunal de Contas da União quanto a não aplicação do inciso II do art. 57 da Lei 8.666/93 aos contratos de aquisição de bens de consumo. Contudo, seguindo a máxima de que “para toda regra há uma exceção”, neste caso não haveria de ser diferente.</w:t>
      </w:r>
    </w:p>
    <w:p>
      <w:pPr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13. Em situação excepcional, o TCU, por meio do Acórdão n° 766/2010 – Plenário, admitiu que os contratos de compra/fornecimento fossem considerados serviços de natureza contínua, possibilitando, assim, a prorrogação dos respectivos ajustes até o limite de 60 (sessenta) meses, nos termos do art. 57, inc. II, da Lei nº 8.666/93.</w:t>
      </w:r>
    </w:p>
    <w:p>
      <w:pPr>
        <w:spacing w:before="0" w:after="0" w:line="240"/>
        <w:ind w:right="0" w:left="0" w:firstLine="1418"/>
        <w:jc w:val="both"/>
        <w:rPr>
          <w:rFonts w:ascii="Times New Roman" w:hAnsi="Times New Roman" w:cs="Times New Roman" w:eastAsia="Times New Roman"/>
          <w:color w:val="282828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82828"/>
          <w:spacing w:val="0"/>
          <w:position w:val="0"/>
          <w:sz w:val="24"/>
          <w:shd w:fill="FFFFFF" w:val="clear"/>
        </w:rPr>
        <w:t xml:space="preserve">14. Dessa forma, verifica-se que excepcionalmente é possível a interpretação extensiva do art. 57, inc. II, da Lei de Licitações para os casos de fornecimento e compras, desde que preenchidos os requisitos de continuidade (inclusive a previsão em edital, em concordância com o art. 41 da Lei n° 8.666/93), e desde que a natureza do objeto face à finalidade do órgão e ao seu escorreito funcionamento justifique esta medida.</w:t>
      </w:r>
    </w:p>
    <w:p>
      <w:pPr>
        <w:spacing w:before="100" w:after="100" w:line="240"/>
        <w:ind w:right="0" w:left="0" w:firstLine="1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15. Ratificamos o consenso doutrinário e jurisprudencial de que a caracterização de um serviço como contínuo requer a demonstração de sua essencialidade e habitualidade para o contratante. Assim, não há como definir um rol taxativo /genérico de serviços contínuos, haja vista a necessidade de analisar o contexto fático de cada contratação, para fins de enquadrar o objeto como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FFFFFF" w:val="clear"/>
        </w:rPr>
        <w:t xml:space="preserve">"aqueles cuja interrupção possa comprometer a continuidade das atividades da Administração e cuja necessidade de contratação deva estender-se por mais de um exercício financeiro e continuamente”.</w:t>
      </w:r>
    </w:p>
    <w:p>
      <w:pPr>
        <w:spacing w:before="100" w:after="100" w:line="240"/>
        <w:ind w:right="0" w:left="0" w:firstLine="1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16. Assim, orientamos que:</w:t>
      </w:r>
    </w:p>
    <w:p>
      <w:pPr>
        <w:spacing w:before="100" w:after="100" w:line="240"/>
        <w:ind w:right="0" w:left="0" w:firstLine="1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282828"/>
          <w:spacing w:val="0"/>
          <w:position w:val="0"/>
          <w:sz w:val="24"/>
          <w:shd w:fill="FFFFFF" w:val="clear"/>
        </w:rPr>
        <w:t xml:space="preserve">a)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Os contrato de compras/aquisição de bens no âmbito municipal, caso não seja possível a execução total no exercício financeiro da celebração, deve o pacto obedecer à regra do artigo 57, caput, da lei de licitações, ou seja, a duração do contrato deve estar vinculada à vigência do respectivo crédito orçamentário, não se podendo estender sua execução ao exercício financeiro subsequente, conforme o supramencionado entendimento do Tribunal de Contas da União.</w:t>
      </w:r>
    </w:p>
    <w:p>
      <w:pPr>
        <w:spacing w:before="0" w:after="336" w:line="240"/>
        <w:ind w:right="0" w:left="0" w:firstLine="141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b) Excepcionalmente, é possível a interpretação extensiva do disposto no inciso II do art. 57 da Lei nº 8.666, de 21 de junho de 1993, devidamente fundamentada e justificada a essencialidade e habitualidade do objeto para o contratante, pelo órgão ou entidade interessados, caso a caso, devendo observar os seguintes requisitos:</w:t>
      </w:r>
    </w:p>
    <w:p>
      <w:pPr>
        <w:numPr>
          <w:ilvl w:val="0"/>
          <w:numId w:val="16"/>
        </w:numPr>
        <w:tabs>
          <w:tab w:val="left" w:pos="1704" w:leader="none"/>
          <w:tab w:val="left" w:pos="2410" w:leader="none"/>
        </w:tabs>
        <w:spacing w:before="100" w:after="100" w:line="240"/>
        <w:ind w:right="0" w:left="0" w:firstLine="1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Fornecimento de produtos em caráter de continuidade e de previsibilidade;</w:t>
      </w:r>
    </w:p>
    <w:p>
      <w:pPr>
        <w:numPr>
          <w:ilvl w:val="0"/>
          <w:numId w:val="16"/>
        </w:numPr>
        <w:tabs>
          <w:tab w:val="left" w:pos="1704" w:leader="none"/>
          <w:tab w:val="left" w:pos="2410" w:leader="none"/>
        </w:tabs>
        <w:spacing w:before="100" w:after="100" w:line="240"/>
        <w:ind w:right="0" w:left="0" w:firstLine="1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Reserva dos recursos necessários em dotação orçamentária específica, previamente estabelecida na Lei Orçamentária Anual;</w:t>
      </w:r>
    </w:p>
    <w:p>
      <w:pPr>
        <w:numPr>
          <w:ilvl w:val="0"/>
          <w:numId w:val="16"/>
        </w:numPr>
        <w:tabs>
          <w:tab w:val="left" w:pos="1704" w:leader="none"/>
          <w:tab w:val="left" w:pos="2410" w:leader="none"/>
        </w:tabs>
        <w:spacing w:before="100" w:after="100" w:line="240"/>
        <w:ind w:right="0" w:left="0" w:firstLine="1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Que sejam periodicamente verificados os preços praticados pelo mercado, a fim de ser prontamente restabelecido o equilíbrio econômico-financeiro inicial da relação contratual em favor do Poder Público;</w:t>
      </w:r>
    </w:p>
    <w:p>
      <w:pPr>
        <w:numPr>
          <w:ilvl w:val="0"/>
          <w:numId w:val="16"/>
        </w:numPr>
        <w:tabs>
          <w:tab w:val="left" w:pos="1704" w:leader="none"/>
          <w:tab w:val="left" w:pos="2410" w:leader="none"/>
        </w:tabs>
        <w:spacing w:before="100" w:after="100" w:line="240"/>
        <w:ind w:right="0" w:left="0" w:firstLine="14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Que sejam justificadas e apresentadas a essencialidade do objeto para assegurar a integridade do patrimônio público de forma rotineira e permanente e/ou  para manter o funcionamento das atividades finalísticas do ente administrativo, de modo que sua interrupção possa comprometer a prestação de um serviço público ou o cumprimento da missão institucional.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2"/>
        <w:jc w:val="righ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Porto Velho, 08 de outubro de 2018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Auditor BORIS ALEXANDER GONÇALVES DE SOUZA</w:t>
      </w:r>
    </w:p>
    <w:p>
      <w:pPr>
        <w:tabs>
          <w:tab w:val="left" w:pos="708" w:leader="none"/>
          <w:tab w:val="center" w:pos="4419" w:leader="none"/>
          <w:tab w:val="right" w:pos="8838" w:leader="none"/>
        </w:tabs>
        <w:suppressAutoHyphens w:val="true"/>
        <w:spacing w:before="0" w:after="0" w:line="240"/>
        <w:ind w:right="0" w:left="0" w:firstLine="142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Controlador Geral do Município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