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2853" w:rsidRPr="009A4F3C" w:rsidRDefault="007955CF" w:rsidP="009A4F3C">
      <w:pPr>
        <w:pStyle w:val="Standard"/>
        <w:tabs>
          <w:tab w:val="left" w:pos="708"/>
          <w:tab w:val="center" w:pos="4419"/>
          <w:tab w:val="right" w:pos="8838"/>
        </w:tabs>
        <w:spacing w:after="100"/>
        <w:jc w:val="both"/>
        <w:rPr>
          <w:b/>
          <w:color w:val="000000"/>
          <w:sz w:val="24"/>
          <w:szCs w:val="24"/>
        </w:rPr>
      </w:pPr>
      <w:r w:rsidRPr="009A4F3C">
        <w:rPr>
          <w:b/>
          <w:color w:val="000000"/>
          <w:sz w:val="24"/>
          <w:szCs w:val="24"/>
        </w:rPr>
        <w:t>Nota de Orientação Técnica nº 001/2018 –ASTEC/CGM</w:t>
      </w:r>
    </w:p>
    <w:p w:rsidR="007955CF" w:rsidRDefault="007955CF" w:rsidP="00527CC0">
      <w:pPr>
        <w:pStyle w:val="Standard"/>
        <w:tabs>
          <w:tab w:val="left" w:pos="708"/>
          <w:tab w:val="center" w:pos="4419"/>
          <w:tab w:val="right" w:pos="8838"/>
        </w:tabs>
        <w:spacing w:before="100" w:after="100"/>
        <w:ind w:left="2835"/>
        <w:jc w:val="right"/>
        <w:rPr>
          <w:color w:val="000000"/>
          <w:sz w:val="24"/>
          <w:szCs w:val="24"/>
        </w:rPr>
      </w:pPr>
    </w:p>
    <w:p w:rsidR="007955CF" w:rsidRDefault="007955CF" w:rsidP="007955CF">
      <w:pPr>
        <w:pStyle w:val="Standard"/>
        <w:tabs>
          <w:tab w:val="left" w:pos="708"/>
          <w:tab w:val="center" w:pos="4419"/>
          <w:tab w:val="right" w:pos="8838"/>
        </w:tabs>
        <w:spacing w:before="100" w:after="10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Porto Velho, 04 de setembro de 2018</w:t>
      </w:r>
    </w:p>
    <w:p w:rsidR="007955CF" w:rsidRDefault="007955CF" w:rsidP="007955CF">
      <w:pPr>
        <w:pStyle w:val="Standard"/>
        <w:tabs>
          <w:tab w:val="left" w:pos="708"/>
          <w:tab w:val="center" w:pos="4419"/>
          <w:tab w:val="right" w:pos="8838"/>
        </w:tabs>
        <w:spacing w:before="100"/>
        <w:jc w:val="right"/>
        <w:rPr>
          <w:color w:val="000000"/>
          <w:sz w:val="24"/>
          <w:szCs w:val="24"/>
        </w:rPr>
      </w:pPr>
    </w:p>
    <w:p w:rsidR="007955CF" w:rsidRPr="007955CF" w:rsidRDefault="00CD22A0" w:rsidP="007955CF">
      <w:pPr>
        <w:pStyle w:val="Standard"/>
        <w:tabs>
          <w:tab w:val="left" w:pos="708"/>
          <w:tab w:val="center" w:pos="4419"/>
          <w:tab w:val="right" w:pos="8838"/>
        </w:tabs>
        <w:spacing w:before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Secretaria Geral de Governo -SGG</w:t>
      </w:r>
      <w:r w:rsidR="007955CF" w:rsidRPr="007955CF">
        <w:rPr>
          <w:b/>
          <w:color w:val="000000"/>
          <w:sz w:val="24"/>
          <w:szCs w:val="24"/>
        </w:rPr>
        <w:t xml:space="preserve"> </w:t>
      </w:r>
    </w:p>
    <w:p w:rsidR="007955CF" w:rsidRDefault="007955CF" w:rsidP="007955CF">
      <w:pPr>
        <w:pStyle w:val="Standard"/>
        <w:tabs>
          <w:tab w:val="left" w:pos="708"/>
          <w:tab w:val="center" w:pos="4419"/>
          <w:tab w:val="right" w:pos="8838"/>
        </w:tabs>
        <w:spacing w:before="100"/>
        <w:rPr>
          <w:color w:val="000000"/>
          <w:sz w:val="24"/>
          <w:szCs w:val="24"/>
        </w:rPr>
      </w:pPr>
    </w:p>
    <w:p w:rsidR="007955CF" w:rsidRDefault="007955CF" w:rsidP="007955CF">
      <w:pPr>
        <w:pStyle w:val="Standard"/>
        <w:tabs>
          <w:tab w:val="left" w:pos="708"/>
          <w:tab w:val="center" w:pos="4419"/>
          <w:tab w:val="right" w:pos="8838"/>
        </w:tabs>
        <w:spacing w:before="100"/>
        <w:rPr>
          <w:color w:val="000000"/>
          <w:sz w:val="24"/>
          <w:szCs w:val="24"/>
        </w:rPr>
      </w:pPr>
      <w:r w:rsidRPr="007955CF">
        <w:rPr>
          <w:b/>
          <w:color w:val="000000"/>
          <w:sz w:val="24"/>
          <w:szCs w:val="24"/>
        </w:rPr>
        <w:t>Assunto</w:t>
      </w:r>
      <w:r>
        <w:rPr>
          <w:color w:val="000000"/>
          <w:sz w:val="24"/>
          <w:szCs w:val="24"/>
        </w:rPr>
        <w:t>:</w:t>
      </w:r>
      <w:r w:rsidR="00470B96">
        <w:rPr>
          <w:color w:val="000000"/>
          <w:sz w:val="24"/>
          <w:szCs w:val="24"/>
        </w:rPr>
        <w:t xml:space="preserve"> Orientação </w:t>
      </w:r>
      <w:r w:rsidR="0034767A">
        <w:rPr>
          <w:color w:val="000000"/>
          <w:sz w:val="24"/>
          <w:szCs w:val="24"/>
        </w:rPr>
        <w:t>quanto a</w:t>
      </w:r>
      <w:r w:rsidR="00470B96">
        <w:rPr>
          <w:color w:val="000000"/>
          <w:sz w:val="24"/>
          <w:szCs w:val="24"/>
        </w:rPr>
        <w:t>o “ACEITE” do Processo Licitatório disposto na alínea b do inciso II do art. 41 da Portaria Ministerial 424/2016</w:t>
      </w:r>
      <w:r w:rsidR="009A4F3C">
        <w:rPr>
          <w:color w:val="000000"/>
          <w:sz w:val="24"/>
          <w:szCs w:val="24"/>
        </w:rPr>
        <w:t>.</w:t>
      </w:r>
    </w:p>
    <w:p w:rsidR="00470B96" w:rsidRDefault="00470B96" w:rsidP="007955CF">
      <w:pPr>
        <w:pStyle w:val="Standard"/>
        <w:tabs>
          <w:tab w:val="left" w:pos="708"/>
          <w:tab w:val="center" w:pos="4419"/>
          <w:tab w:val="right" w:pos="8838"/>
        </w:tabs>
        <w:spacing w:before="100"/>
        <w:rPr>
          <w:color w:val="000000"/>
          <w:sz w:val="24"/>
          <w:szCs w:val="24"/>
        </w:rPr>
      </w:pPr>
    </w:p>
    <w:p w:rsidR="007955CF" w:rsidRDefault="007955CF" w:rsidP="007955CF">
      <w:pPr>
        <w:pStyle w:val="Standard"/>
        <w:tabs>
          <w:tab w:val="left" w:pos="708"/>
          <w:tab w:val="center" w:pos="4419"/>
          <w:tab w:val="right" w:pos="8838"/>
        </w:tabs>
        <w:spacing w:before="100"/>
        <w:rPr>
          <w:color w:val="000000"/>
          <w:sz w:val="24"/>
          <w:szCs w:val="24"/>
        </w:rPr>
      </w:pPr>
    </w:p>
    <w:p w:rsidR="00D24580" w:rsidRDefault="009A4F3C" w:rsidP="002831B8">
      <w:pPr>
        <w:pStyle w:val="Standard"/>
        <w:tabs>
          <w:tab w:val="left" w:pos="708"/>
          <w:tab w:val="center" w:pos="4419"/>
          <w:tab w:val="right" w:pos="8838"/>
        </w:tabs>
        <w:spacing w:before="100"/>
        <w:ind w:firstLine="1134"/>
        <w:jc w:val="both"/>
        <w:rPr>
          <w:sz w:val="24"/>
        </w:rPr>
      </w:pPr>
      <w:r>
        <w:rPr>
          <w:sz w:val="24"/>
        </w:rPr>
        <w:t>A</w:t>
      </w:r>
      <w:r w:rsidR="001E7867" w:rsidRPr="001E7867">
        <w:rPr>
          <w:sz w:val="24"/>
        </w:rPr>
        <w:t xml:space="preserve">tualmente, a legislação aplicável às transferências de recursos da União mediante a realização de convênios é composta, principalmente, do Decreto nº 6.170/2007, que “dispõe sobre as normas relativas às transferências de recursos da União mediante convênios e contratos de repasse, e dá outras providências”, </w:t>
      </w:r>
      <w:r w:rsidR="00D24580">
        <w:rPr>
          <w:sz w:val="24"/>
        </w:rPr>
        <w:t>e pela</w:t>
      </w:r>
      <w:r w:rsidR="001E7867" w:rsidRPr="001E7867">
        <w:rPr>
          <w:sz w:val="24"/>
        </w:rPr>
        <w:t xml:space="preserve"> Portaria Interministerial nº 424/2016, que estab</w:t>
      </w:r>
      <w:r w:rsidR="00D24580">
        <w:rPr>
          <w:sz w:val="24"/>
        </w:rPr>
        <w:t>elece normas para sua execução</w:t>
      </w:r>
      <w:r>
        <w:rPr>
          <w:sz w:val="24"/>
        </w:rPr>
        <w:t xml:space="preserve">, tendo alguns pontos recentemente esclarecidos com a publicação da </w:t>
      </w:r>
      <w:r>
        <w:rPr>
          <w:color w:val="000000"/>
          <w:sz w:val="24"/>
          <w:szCs w:val="24"/>
        </w:rPr>
        <w:t>Diretriz nº 01/2018 da Comissão Gestora do SICONV</w:t>
      </w:r>
      <w:r w:rsidR="00D24580">
        <w:rPr>
          <w:sz w:val="24"/>
        </w:rPr>
        <w:t>;</w:t>
      </w:r>
    </w:p>
    <w:p w:rsidR="002831B8" w:rsidRDefault="00C70F90" w:rsidP="002831B8">
      <w:pPr>
        <w:pStyle w:val="Standard"/>
        <w:tabs>
          <w:tab w:val="left" w:pos="708"/>
          <w:tab w:val="center" w:pos="4419"/>
          <w:tab w:val="right" w:pos="8838"/>
        </w:tabs>
        <w:spacing w:before="100"/>
        <w:ind w:firstLine="1134"/>
        <w:jc w:val="both"/>
        <w:rPr>
          <w:sz w:val="24"/>
        </w:rPr>
      </w:pPr>
      <w:r>
        <w:rPr>
          <w:sz w:val="24"/>
        </w:rPr>
        <w:t>Esta Nota</w:t>
      </w:r>
      <w:r w:rsidR="00D24580">
        <w:rPr>
          <w:sz w:val="24"/>
        </w:rPr>
        <w:t xml:space="preserve"> de Orientação Técnica</w:t>
      </w:r>
      <w:r>
        <w:rPr>
          <w:sz w:val="24"/>
        </w:rPr>
        <w:t xml:space="preserve"> segue ao convenente municipal para orientação</w:t>
      </w:r>
      <w:r w:rsidR="00527CC0">
        <w:rPr>
          <w:sz w:val="24"/>
        </w:rPr>
        <w:t xml:space="preserve"> quanto ao </w:t>
      </w:r>
      <w:r w:rsidR="00D24580">
        <w:rPr>
          <w:sz w:val="24"/>
        </w:rPr>
        <w:t>“Aceite” disposto na alínea b do inciso II do art. 41 da Portaria Interministerial 424/2016</w:t>
      </w:r>
      <w:r w:rsidR="00527CC0">
        <w:rPr>
          <w:sz w:val="24"/>
        </w:rPr>
        <w:t>.</w:t>
      </w:r>
    </w:p>
    <w:p w:rsidR="00527CC0" w:rsidRDefault="00C70F90" w:rsidP="00527CC0">
      <w:pPr>
        <w:pStyle w:val="Standard"/>
        <w:tabs>
          <w:tab w:val="left" w:pos="708"/>
          <w:tab w:val="center" w:pos="4419"/>
          <w:tab w:val="right" w:pos="8838"/>
        </w:tabs>
        <w:spacing w:before="100"/>
        <w:ind w:firstLine="1134"/>
        <w:jc w:val="both"/>
        <w:rPr>
          <w:sz w:val="24"/>
        </w:rPr>
      </w:pPr>
      <w:proofErr w:type="gramStart"/>
      <w:r>
        <w:rPr>
          <w:sz w:val="24"/>
        </w:rPr>
        <w:t xml:space="preserve">O </w:t>
      </w:r>
      <w:r w:rsidR="00527CC0" w:rsidRPr="00527CC0">
        <w:rPr>
          <w:sz w:val="24"/>
        </w:rPr>
        <w:t xml:space="preserve"> TCU</w:t>
      </w:r>
      <w:proofErr w:type="gramEnd"/>
      <w:r w:rsidR="00527CC0" w:rsidRPr="00527CC0">
        <w:rPr>
          <w:sz w:val="24"/>
        </w:rPr>
        <w:t xml:space="preserve"> vem</w:t>
      </w:r>
      <w:r w:rsidR="00527CC0">
        <w:rPr>
          <w:sz w:val="24"/>
        </w:rPr>
        <w:t xml:space="preserve"> </w:t>
      </w:r>
      <w:r w:rsidR="00527CC0" w:rsidRPr="00527CC0">
        <w:rPr>
          <w:sz w:val="24"/>
        </w:rPr>
        <w:t>reiteradamente alertando os gestores públicos para a importância da fase de plan</w:t>
      </w:r>
      <w:r w:rsidR="00527CC0">
        <w:rPr>
          <w:sz w:val="24"/>
        </w:rPr>
        <w:t xml:space="preserve">ejamento do convênio, pois dela </w:t>
      </w:r>
      <w:r w:rsidR="00527CC0" w:rsidRPr="00527CC0">
        <w:rPr>
          <w:sz w:val="24"/>
        </w:rPr>
        <w:t>depende a efetividade das fases subsequentes. Assim recomendou o Tribunal no seguinte julgado:</w:t>
      </w:r>
    </w:p>
    <w:p w:rsidR="00527CC0" w:rsidRPr="00527CC0" w:rsidRDefault="00527CC0" w:rsidP="00527CC0">
      <w:pPr>
        <w:pStyle w:val="Standard"/>
        <w:tabs>
          <w:tab w:val="left" w:pos="708"/>
          <w:tab w:val="center" w:pos="4419"/>
          <w:tab w:val="right" w:pos="8838"/>
        </w:tabs>
        <w:spacing w:before="100"/>
        <w:ind w:left="2835"/>
        <w:jc w:val="both"/>
        <w:rPr>
          <w:i/>
          <w:sz w:val="24"/>
        </w:rPr>
      </w:pPr>
      <w:r w:rsidRPr="00527CC0">
        <w:rPr>
          <w:i/>
        </w:rPr>
        <w:t xml:space="preserve">3.2.28 A adequada análise técnica das proposições, certificando-se da consistência dos planos de trabalho, da adequabilidade de seus custos e das condições das entidades convenentes para executá-los, constitui a validação do planejamento da ação a ser executada e é a fase de controle mais efetiva e menos onerosa neste tipo de processo: a antecedente. A efetividade das demais fases, a concomitante (acompanhamento e fiscalização da execução) e a </w:t>
      </w:r>
      <w:r w:rsidR="004A0BE2" w:rsidRPr="00527CC0">
        <w:rPr>
          <w:i/>
        </w:rPr>
        <w:t>subsequente</w:t>
      </w:r>
      <w:r w:rsidRPr="00527CC0">
        <w:rPr>
          <w:i/>
        </w:rPr>
        <w:t xml:space="preserve"> (avaliação de resultados e prestações de contas) dependem fundamentalmente dos parâmetros estabelecidos na primeira fase. Os fatos descritos neste relatório denotam uma correlação do tipo causa e efeito entre a negligência na primeira fase e as irregularidades praticadas nas demais. (TCU, Acórdão 390/2009 – Plenário) (grifos nossos)</w:t>
      </w:r>
    </w:p>
    <w:p w:rsidR="00B02853" w:rsidRDefault="001871DC" w:rsidP="00527CC0">
      <w:pPr>
        <w:pStyle w:val="Standard"/>
        <w:tabs>
          <w:tab w:val="left" w:pos="708"/>
          <w:tab w:val="center" w:pos="4419"/>
          <w:tab w:val="right" w:pos="8838"/>
        </w:tabs>
        <w:spacing w:before="100"/>
        <w:ind w:firstLine="1134"/>
        <w:jc w:val="both"/>
        <w:rPr>
          <w:sz w:val="24"/>
        </w:rPr>
      </w:pPr>
      <w:r>
        <w:rPr>
          <w:sz w:val="24"/>
        </w:rPr>
        <w:t>O</w:t>
      </w:r>
      <w:r w:rsidR="00527CC0" w:rsidRPr="00527CC0">
        <w:rPr>
          <w:sz w:val="24"/>
        </w:rPr>
        <w:t xml:space="preserve"> proponente, como ente público, quando da contratação de terceiros, está obrigado a observar as disposições contidas na Lei nº 8.666, de 1993, na Lei nº 10.520, de 17 de junho de 2002 e demais normas federais, estaduais e municipais pertinentes ao assunto, quando da contratação de terceiros, conforme art. 49 da Por</w:t>
      </w:r>
      <w:r w:rsidR="00A72376">
        <w:rPr>
          <w:sz w:val="24"/>
        </w:rPr>
        <w:t>taria Interministerial 424/2016;</w:t>
      </w:r>
    </w:p>
    <w:p w:rsidR="00441621" w:rsidRDefault="001871DC" w:rsidP="00527CC0">
      <w:pPr>
        <w:pStyle w:val="Standard"/>
        <w:tabs>
          <w:tab w:val="left" w:pos="708"/>
          <w:tab w:val="center" w:pos="4419"/>
          <w:tab w:val="right" w:pos="8838"/>
        </w:tabs>
        <w:spacing w:before="100"/>
        <w:ind w:firstLine="1134"/>
        <w:jc w:val="both"/>
        <w:rPr>
          <w:sz w:val="24"/>
        </w:rPr>
      </w:pPr>
      <w:r>
        <w:rPr>
          <w:sz w:val="24"/>
        </w:rPr>
        <w:t>O</w:t>
      </w:r>
      <w:r w:rsidR="00A72376">
        <w:rPr>
          <w:sz w:val="24"/>
        </w:rPr>
        <w:t xml:space="preserve"> §</w:t>
      </w:r>
      <w:r w:rsidR="00441621">
        <w:rPr>
          <w:sz w:val="24"/>
        </w:rPr>
        <w:t xml:space="preserve">1º do art. 49 da PI 424/2016 determina que para aquisição de bens e serviços comuns, será </w:t>
      </w:r>
      <w:r w:rsidR="00441621" w:rsidRPr="00441621">
        <w:rPr>
          <w:b/>
          <w:sz w:val="24"/>
        </w:rPr>
        <w:t>obrigatório</w:t>
      </w:r>
      <w:r w:rsidR="00441621">
        <w:rPr>
          <w:sz w:val="24"/>
        </w:rPr>
        <w:t xml:space="preserve"> o uso da modalidade pregão, sendo utilizada preferenci</w:t>
      </w:r>
      <w:r>
        <w:rPr>
          <w:sz w:val="24"/>
        </w:rPr>
        <w:t>almente a sua forma eletrônica;</w:t>
      </w:r>
    </w:p>
    <w:p w:rsidR="001871DC" w:rsidRDefault="001871DC" w:rsidP="00527CC0">
      <w:pPr>
        <w:pStyle w:val="Standard"/>
        <w:tabs>
          <w:tab w:val="left" w:pos="708"/>
          <w:tab w:val="center" w:pos="4419"/>
          <w:tab w:val="right" w:pos="8838"/>
        </w:tabs>
        <w:spacing w:before="100"/>
        <w:ind w:firstLine="1134"/>
        <w:jc w:val="both"/>
        <w:rPr>
          <w:sz w:val="24"/>
        </w:rPr>
      </w:pPr>
      <w:r>
        <w:rPr>
          <w:sz w:val="24"/>
        </w:rPr>
        <w:t xml:space="preserve">Nos casos em que a convenente optar pela utilização do pregão na modalidade presencial, a justificativa </w:t>
      </w:r>
      <w:r w:rsidR="00C70F90">
        <w:rPr>
          <w:sz w:val="24"/>
        </w:rPr>
        <w:t>deverá considerar</w:t>
      </w:r>
      <w:r>
        <w:rPr>
          <w:sz w:val="24"/>
        </w:rPr>
        <w:t xml:space="preserve"> o entendimento dos acórdãos abaixo:</w:t>
      </w:r>
    </w:p>
    <w:p w:rsidR="001871DC" w:rsidRPr="009A4F3C" w:rsidRDefault="00E656FD" w:rsidP="00E656FD">
      <w:pPr>
        <w:pStyle w:val="Standard"/>
        <w:tabs>
          <w:tab w:val="left" w:pos="708"/>
          <w:tab w:val="center" w:pos="4419"/>
          <w:tab w:val="right" w:pos="8838"/>
        </w:tabs>
        <w:spacing w:before="100"/>
        <w:ind w:left="2835"/>
        <w:jc w:val="both"/>
      </w:pPr>
      <w:r w:rsidRPr="009A4F3C">
        <w:rPr>
          <w:color w:val="000000"/>
        </w:rPr>
        <w:lastRenderedPageBreak/>
        <w:t>AC-1099-16/10-P</w:t>
      </w:r>
      <w:r w:rsidR="001871DC" w:rsidRPr="009A4F3C">
        <w:t>:</w:t>
      </w:r>
    </w:p>
    <w:p w:rsidR="00E656FD" w:rsidRPr="009A4F3C" w:rsidRDefault="00E656FD" w:rsidP="00E656FD">
      <w:pPr>
        <w:pStyle w:val="B0"/>
        <w:tabs>
          <w:tab w:val="left" w:pos="1134"/>
        </w:tabs>
        <w:ind w:left="2835" w:firstLine="0"/>
        <w:rPr>
          <w:i/>
          <w:sz w:val="20"/>
        </w:rPr>
      </w:pPr>
      <w:r w:rsidRPr="009A4F3C">
        <w:rPr>
          <w:i/>
          <w:sz w:val="20"/>
        </w:rPr>
        <w:t xml:space="preserve">10. Considero, entretanto, que a utilização do pregão na forma presencial, sem que tenha havido demonstração da inviabilidade de utilização da forma eletrônica, não se conforma com o preceito contido no art. 4º, §1º, do Decreto 5.450/2005. A justificativa apresentada no Memorando nº 351/2010-CGA/SPOA/SE/MPA, de 7/4/2010 (dificuldade de remessa por meio magnético de pesados arquivos de “manuais e plantas croquis e demais documentos”) não se revela satisfatória, tendo em vista o atual estágio de desenvolvimento das ferramentas de tecnologia da informação, conforme ponderou o Sr. Secretário. </w:t>
      </w:r>
    </w:p>
    <w:p w:rsidR="00E656FD" w:rsidRPr="009A4F3C" w:rsidRDefault="00E656FD" w:rsidP="00E656FD">
      <w:pPr>
        <w:pStyle w:val="B0"/>
        <w:tabs>
          <w:tab w:val="left" w:pos="1134"/>
        </w:tabs>
        <w:ind w:left="2835" w:firstLine="0"/>
        <w:rPr>
          <w:i/>
          <w:sz w:val="20"/>
        </w:rPr>
      </w:pPr>
    </w:p>
    <w:p w:rsidR="00DB20FA" w:rsidRPr="009A4F3C" w:rsidRDefault="00DB20FA" w:rsidP="00E656FD">
      <w:pPr>
        <w:pStyle w:val="B0"/>
        <w:tabs>
          <w:tab w:val="left" w:pos="1134"/>
        </w:tabs>
        <w:ind w:left="2835" w:firstLine="0"/>
        <w:rPr>
          <w:sz w:val="20"/>
        </w:rPr>
      </w:pPr>
      <w:r w:rsidRPr="009A4F3C">
        <w:rPr>
          <w:color w:val="000000"/>
          <w:sz w:val="20"/>
        </w:rPr>
        <w:t>AC-0182-03/16-P</w:t>
      </w:r>
    </w:p>
    <w:p w:rsidR="00DB20FA" w:rsidRPr="009A4F3C" w:rsidRDefault="00DB20FA" w:rsidP="00DB20FA">
      <w:pPr>
        <w:spacing w:before="120"/>
        <w:ind w:left="2835"/>
        <w:jc w:val="both"/>
        <w:rPr>
          <w:i/>
          <w:u w:val="single"/>
        </w:rPr>
      </w:pPr>
      <w:r w:rsidRPr="009A4F3C">
        <w:rPr>
          <w:i/>
        </w:rPr>
        <w:t xml:space="preserve">8.7. Quanto ao mérito das justificativas apresentadas para a não utilização do pregão eletrônico, constata-se que há carência da efetiva comprovação de sua inviabilidade, nos termos do § 1º do Art. 4º do Decreto 5.450/2005 ou, subsidiariamente, pelo disposto no art. 18 da Resolução Normativa CFA 411/2011. O CRA-RJ se limitou a tecer considerações genéricas de ordem meramente formal, </w:t>
      </w:r>
      <w:r w:rsidRPr="009A4F3C">
        <w:rPr>
          <w:i/>
          <w:u w:val="single"/>
        </w:rPr>
        <w:t>sem demonstrar em quais aspectos o pregão presencial seria, materialmente, mais vantajoso sobre o pregão eletrônico.</w:t>
      </w:r>
    </w:p>
    <w:p w:rsidR="00DB20FA" w:rsidRPr="009A4F3C" w:rsidRDefault="00DB20FA" w:rsidP="00DB20FA">
      <w:pPr>
        <w:spacing w:before="120"/>
        <w:ind w:left="2835"/>
        <w:jc w:val="both"/>
        <w:rPr>
          <w:i/>
        </w:rPr>
      </w:pPr>
      <w:r w:rsidRPr="009A4F3C">
        <w:rPr>
          <w:i/>
        </w:rPr>
        <w:t>8.8. Aliás, quanto a essas justificativas, a unidade técnica de origem, de forma acertada, as rechaçou asseverando que inexistem problemas na adoção do pregão eletrônico, seja pela complexidade do objeto, por questões de segurança de informações e potencial redução de custos (peça 36, p. 11):</w:t>
      </w:r>
    </w:p>
    <w:p w:rsidR="00DB20FA" w:rsidRPr="009A4F3C" w:rsidRDefault="00DB20FA" w:rsidP="00E656FD">
      <w:pPr>
        <w:pStyle w:val="B0"/>
        <w:tabs>
          <w:tab w:val="left" w:pos="1134"/>
        </w:tabs>
        <w:ind w:left="2835" w:firstLine="0"/>
        <w:rPr>
          <w:sz w:val="20"/>
        </w:rPr>
      </w:pPr>
    </w:p>
    <w:p w:rsidR="00DB20FA" w:rsidRPr="009A4F3C" w:rsidRDefault="00DB20FA" w:rsidP="00E656FD">
      <w:pPr>
        <w:pStyle w:val="B0"/>
        <w:tabs>
          <w:tab w:val="left" w:pos="1134"/>
        </w:tabs>
        <w:ind w:left="2835" w:firstLine="0"/>
        <w:rPr>
          <w:sz w:val="20"/>
        </w:rPr>
      </w:pPr>
    </w:p>
    <w:p w:rsidR="00E656FD" w:rsidRPr="009A4F3C" w:rsidRDefault="00E656FD" w:rsidP="00E656FD">
      <w:pPr>
        <w:pStyle w:val="B0"/>
        <w:tabs>
          <w:tab w:val="left" w:pos="1134"/>
        </w:tabs>
        <w:ind w:left="2835" w:firstLine="0"/>
        <w:rPr>
          <w:sz w:val="20"/>
        </w:rPr>
      </w:pPr>
      <w:r w:rsidRPr="009A4F3C">
        <w:rPr>
          <w:sz w:val="20"/>
        </w:rPr>
        <w:t>AC -7697/2010 –</w:t>
      </w:r>
    </w:p>
    <w:p w:rsidR="00F237EF" w:rsidRPr="009A4F3C" w:rsidRDefault="00F237EF" w:rsidP="00F237EF">
      <w:pPr>
        <w:numPr>
          <w:ilvl w:val="12"/>
          <w:numId w:val="0"/>
        </w:numPr>
        <w:spacing w:before="20" w:after="20"/>
        <w:ind w:left="2835"/>
        <w:jc w:val="both"/>
        <w:rPr>
          <w:i/>
        </w:rPr>
      </w:pPr>
      <w:r w:rsidRPr="009A4F3C">
        <w:rPr>
          <w:i/>
        </w:rPr>
        <w:t>2.4.2.4.</w:t>
      </w:r>
      <w:r w:rsidRPr="009A4F3C">
        <w:rPr>
          <w:i/>
        </w:rPr>
        <w:tab/>
        <w:t xml:space="preserve">Mesmo partindo de uma interpretação menos rigorosa das disposições normativas supracitadas, verificamos a insuficiência da justificativa apresentada para o uso do pregão presencial. O uso do pregão presencial em detrimento do pregão eletrônico será </w:t>
      </w:r>
      <w:proofErr w:type="gramStart"/>
      <w:r w:rsidRPr="009A4F3C">
        <w:rPr>
          <w:i/>
        </w:rPr>
        <w:t>justificada</w:t>
      </w:r>
      <w:proofErr w:type="gramEnd"/>
      <w:r w:rsidRPr="009A4F3C">
        <w:rPr>
          <w:i/>
        </w:rPr>
        <w:t xml:space="preserve"> quando o órgão licitante comprovar que não possui recursos técnicos para realização deste último, ou mesmo quando os possíveis fornecedores não possuam tais recursos. Ainda que venhamos a admitir uma interpretação mais ampla da expressão “comprovada inviabilidade”, a justificativa apresentada pelo órgão para a não utilização do pregão eletrônico, a luz do exposto no parágrafo único do art. 5º, deve favorecer a ampliação da disputa entre os interessados.</w:t>
      </w:r>
    </w:p>
    <w:p w:rsidR="00F237EF" w:rsidRPr="009A4F3C" w:rsidRDefault="00F237EF" w:rsidP="00F237EF">
      <w:pPr>
        <w:numPr>
          <w:ilvl w:val="12"/>
          <w:numId w:val="0"/>
        </w:numPr>
        <w:spacing w:before="20" w:after="20"/>
        <w:ind w:left="2835"/>
        <w:jc w:val="both"/>
        <w:rPr>
          <w:i/>
        </w:rPr>
      </w:pPr>
      <w:r w:rsidRPr="009A4F3C">
        <w:rPr>
          <w:i/>
        </w:rPr>
        <w:t>[...]</w:t>
      </w:r>
    </w:p>
    <w:p w:rsidR="00F237EF" w:rsidRPr="009A4F3C" w:rsidRDefault="00F237EF" w:rsidP="00F237EF">
      <w:pPr>
        <w:numPr>
          <w:ilvl w:val="12"/>
          <w:numId w:val="0"/>
        </w:numPr>
        <w:spacing w:before="20" w:after="20"/>
        <w:ind w:left="2835"/>
        <w:jc w:val="both"/>
        <w:rPr>
          <w:i/>
        </w:rPr>
      </w:pPr>
      <w:r w:rsidRPr="009A4F3C">
        <w:rPr>
          <w:i/>
        </w:rPr>
        <w:t>2.4.2.7.</w:t>
      </w:r>
      <w:r w:rsidRPr="009A4F3C">
        <w:rPr>
          <w:i/>
        </w:rPr>
        <w:tab/>
        <w:t>A justificativa de que a contratação de empresa com sede na capital garantiria a execução dos serviços sem riscos de continuidade, bem como facilitaria a fiscalização do contrato, também é insuficiente. O que garante uma boa contratação de serviços é uma boa especificação do Termo de Referência somado a uma boa gestão de contrato. Restrições desse tipo só têm o condão de afastar do certame empresas qualificadas de outros municípios ou estados, que, por vezes, possam oferecer o mesmo serviço a preços menores. Além do que, nada impede que a empresa local contrate funcionários de outros estados ou que as empresas de fora contratem funcionários locais.</w:t>
      </w:r>
    </w:p>
    <w:p w:rsidR="00E656FD" w:rsidRPr="00E656FD" w:rsidRDefault="00E656FD" w:rsidP="00E656FD">
      <w:pPr>
        <w:pStyle w:val="B0"/>
        <w:tabs>
          <w:tab w:val="left" w:pos="1134"/>
        </w:tabs>
        <w:ind w:left="2835" w:firstLine="0"/>
        <w:rPr>
          <w:i/>
        </w:rPr>
      </w:pPr>
    </w:p>
    <w:p w:rsidR="00654BF4" w:rsidRDefault="00654BF4" w:rsidP="00654BF4">
      <w:pPr>
        <w:pStyle w:val="Standard"/>
        <w:tabs>
          <w:tab w:val="left" w:pos="708"/>
          <w:tab w:val="center" w:pos="4419"/>
          <w:tab w:val="right" w:pos="8838"/>
        </w:tabs>
        <w:spacing w:before="100"/>
        <w:ind w:firstLine="1134"/>
        <w:jc w:val="both"/>
        <w:rPr>
          <w:sz w:val="24"/>
        </w:rPr>
      </w:pPr>
      <w:r>
        <w:rPr>
          <w:sz w:val="24"/>
        </w:rPr>
        <w:t>Assim, conclui</w:t>
      </w:r>
      <w:r w:rsidR="00F237EF">
        <w:rPr>
          <w:sz w:val="24"/>
        </w:rPr>
        <w:t xml:space="preserve">-se que o TCU não admite que os órgãos e entidades da Administração Pública Federal, submetidos ao Decreto nº 5.450/05, justifiquem a opção pelo pregão presencial em </w:t>
      </w:r>
      <w:r>
        <w:rPr>
          <w:sz w:val="24"/>
        </w:rPr>
        <w:t>detrimento do</w:t>
      </w:r>
      <w:r w:rsidR="00F237EF">
        <w:rPr>
          <w:sz w:val="24"/>
        </w:rPr>
        <w:t xml:space="preserve"> pregão eletrônico alegando situações divergentes das decorrentes do uso de recursos de tecnologia da informação. Sendo assim, </w:t>
      </w:r>
      <w:r w:rsidR="00F237EF">
        <w:rPr>
          <w:sz w:val="24"/>
        </w:rPr>
        <w:lastRenderedPageBreak/>
        <w:t xml:space="preserve">só há de serem consideradas “aceite” as justificativas </w:t>
      </w:r>
      <w:r w:rsidR="00C70F90">
        <w:rPr>
          <w:sz w:val="24"/>
        </w:rPr>
        <w:t xml:space="preserve">de pregão presencial </w:t>
      </w:r>
      <w:r w:rsidR="00F237EF">
        <w:rPr>
          <w:sz w:val="24"/>
        </w:rPr>
        <w:t xml:space="preserve">que se basearem no que dispuser da impossibilidade de acesso </w:t>
      </w:r>
      <w:r>
        <w:rPr>
          <w:sz w:val="24"/>
        </w:rPr>
        <w:t>à</w:t>
      </w:r>
      <w:r w:rsidR="00F237EF">
        <w:rPr>
          <w:sz w:val="24"/>
        </w:rPr>
        <w:t xml:space="preserve"> Internet. Apenas </w:t>
      </w:r>
      <w:r>
        <w:rPr>
          <w:sz w:val="24"/>
        </w:rPr>
        <w:t>situações dessa natureza são claramente</w:t>
      </w:r>
      <w:r w:rsidR="00F237EF">
        <w:rPr>
          <w:sz w:val="24"/>
        </w:rPr>
        <w:t xml:space="preserve"> impeditivas para o processamento da licitação via ambiente virtual.</w:t>
      </w:r>
    </w:p>
    <w:p w:rsidR="00654BF4" w:rsidRDefault="00C70F90" w:rsidP="00C91EBE">
      <w:pPr>
        <w:pStyle w:val="Standard"/>
        <w:tabs>
          <w:tab w:val="left" w:pos="708"/>
          <w:tab w:val="center" w:pos="4419"/>
          <w:tab w:val="right" w:pos="8838"/>
        </w:tabs>
        <w:spacing w:before="100"/>
        <w:ind w:firstLine="1134"/>
        <w:jc w:val="both"/>
        <w:rPr>
          <w:sz w:val="24"/>
        </w:rPr>
      </w:pPr>
      <w:r>
        <w:rPr>
          <w:sz w:val="24"/>
        </w:rPr>
        <w:t>C</w:t>
      </w:r>
      <w:r w:rsidR="00654BF4">
        <w:rPr>
          <w:sz w:val="24"/>
        </w:rPr>
        <w:t xml:space="preserve">onsiderando as disposições publicadas na Diretriz nº 01/2018, </w:t>
      </w:r>
      <w:r w:rsidR="00654BF4" w:rsidRPr="00654BF4">
        <w:rPr>
          <w:sz w:val="24"/>
        </w:rPr>
        <w:t xml:space="preserve">no que diz respeito ao momento em </w:t>
      </w:r>
      <w:r w:rsidR="009A4F3C">
        <w:rPr>
          <w:sz w:val="24"/>
        </w:rPr>
        <w:t>que deve ser realizado o aceite</w:t>
      </w:r>
      <w:r w:rsidR="00654BF4" w:rsidRPr="00654BF4">
        <w:rPr>
          <w:sz w:val="24"/>
        </w:rPr>
        <w:t xml:space="preserve"> para fins de liberação de parcelas, </w:t>
      </w:r>
      <w:r w:rsidR="00C91EBE">
        <w:rPr>
          <w:sz w:val="24"/>
        </w:rPr>
        <w:t>entendemos que o “aceite” será realizado após a homologação do resultado do edital de licitação pela autoridade competente (Lei n. 8.666/93, art. 43 inci</w:t>
      </w:r>
      <w:r w:rsidR="006B274F">
        <w:rPr>
          <w:sz w:val="24"/>
        </w:rPr>
        <w:t>s</w:t>
      </w:r>
      <w:r w:rsidR="00C91EBE">
        <w:rPr>
          <w:sz w:val="24"/>
        </w:rPr>
        <w:t>o VI) mas em momento anterior a formalização dos correspondentes contratos administrativos (nos termos do ar. 6º</w:t>
      </w:r>
      <w:r w:rsidR="006B274F">
        <w:rPr>
          <w:sz w:val="24"/>
        </w:rPr>
        <w:t>, inciso II, alínea “d” da Portaria Interministerial n. 424/2016 e de acordo com a Diretriz n. 01/2018 da Comissão Gestora do SICONV) antes de sua consumação, por meio da celebração do respectivo contrato administrativo.</w:t>
      </w:r>
    </w:p>
    <w:p w:rsidR="00C70F90" w:rsidRDefault="00C70F90" w:rsidP="00C91EBE">
      <w:pPr>
        <w:pStyle w:val="Standard"/>
        <w:tabs>
          <w:tab w:val="left" w:pos="708"/>
          <w:tab w:val="center" w:pos="4419"/>
          <w:tab w:val="right" w:pos="8838"/>
        </w:tabs>
        <w:spacing w:before="100"/>
        <w:ind w:firstLine="1134"/>
        <w:jc w:val="both"/>
        <w:rPr>
          <w:sz w:val="24"/>
        </w:rPr>
      </w:pPr>
      <w:r>
        <w:rPr>
          <w:sz w:val="24"/>
        </w:rPr>
        <w:t xml:space="preserve">Assim, destacamos “in </w:t>
      </w:r>
      <w:proofErr w:type="spellStart"/>
      <w:r>
        <w:rPr>
          <w:sz w:val="24"/>
        </w:rPr>
        <w:t>verbis</w:t>
      </w:r>
      <w:proofErr w:type="spellEnd"/>
      <w:r>
        <w:rPr>
          <w:sz w:val="24"/>
        </w:rPr>
        <w:t xml:space="preserve">” o item 2 e 4 da </w:t>
      </w:r>
      <w:proofErr w:type="gramStart"/>
      <w:r>
        <w:rPr>
          <w:sz w:val="24"/>
        </w:rPr>
        <w:t>Diretriz  n.</w:t>
      </w:r>
      <w:proofErr w:type="gramEnd"/>
      <w:r>
        <w:rPr>
          <w:sz w:val="24"/>
        </w:rPr>
        <w:t xml:space="preserve"> 01/2018:</w:t>
      </w:r>
    </w:p>
    <w:p w:rsidR="00F35287" w:rsidRPr="00F35287" w:rsidRDefault="00F35287" w:rsidP="00F35287">
      <w:pPr>
        <w:pStyle w:val="NormalWeb"/>
        <w:shd w:val="clear" w:color="auto" w:fill="FFFFFF"/>
        <w:spacing w:beforeAutospacing="0" w:afterAutospacing="0"/>
        <w:ind w:left="2835"/>
        <w:jc w:val="both"/>
        <w:textAlignment w:val="baseline"/>
        <w:rPr>
          <w:i/>
          <w:color w:val="000000"/>
          <w:sz w:val="20"/>
          <w:szCs w:val="20"/>
        </w:rPr>
      </w:pPr>
      <w:r w:rsidRPr="00F35287">
        <w:rPr>
          <w:i/>
          <w:color w:val="000000"/>
          <w:sz w:val="20"/>
          <w:szCs w:val="20"/>
        </w:rPr>
        <w:t xml:space="preserve">2) O aceite do processo licitatório, a ser realizado pelo concedente ou mandatária da União, deverá levar em consideração o disposto na alínea “d”, inciso II, do art. 6º c/c com o inciso VII do art. 7º da PI nº 424, de 2016, ou seja, </w:t>
      </w:r>
      <w:proofErr w:type="spellStart"/>
      <w:r w:rsidRPr="00F35287">
        <w:rPr>
          <w:i/>
          <w:color w:val="000000"/>
          <w:sz w:val="20"/>
          <w:szCs w:val="20"/>
        </w:rPr>
        <w:t>no</w:t>
      </w:r>
      <w:proofErr w:type="spellEnd"/>
      <w:r w:rsidRPr="00F35287">
        <w:rPr>
          <w:i/>
          <w:color w:val="000000"/>
          <w:sz w:val="20"/>
          <w:szCs w:val="20"/>
        </w:rPr>
        <w:t xml:space="preserve"> aceite do processo licitatório, </w:t>
      </w:r>
      <w:proofErr w:type="gramStart"/>
      <w:r w:rsidRPr="00F35287">
        <w:rPr>
          <w:i/>
          <w:color w:val="000000"/>
          <w:sz w:val="20"/>
          <w:szCs w:val="20"/>
        </w:rPr>
        <w:t>o concedente</w:t>
      </w:r>
      <w:proofErr w:type="gramEnd"/>
      <w:r w:rsidRPr="00F35287">
        <w:rPr>
          <w:i/>
          <w:color w:val="000000"/>
          <w:sz w:val="20"/>
          <w:szCs w:val="20"/>
        </w:rPr>
        <w:t xml:space="preserve"> ou a mandatária da União, deverão observar a documentação no que tange:</w:t>
      </w:r>
    </w:p>
    <w:p w:rsidR="00F35287" w:rsidRPr="00F35287" w:rsidRDefault="00F35287" w:rsidP="00F35287">
      <w:pPr>
        <w:pStyle w:val="NormalWeb"/>
        <w:shd w:val="clear" w:color="auto" w:fill="FFFFFF"/>
        <w:spacing w:beforeAutospacing="0" w:afterAutospacing="0"/>
        <w:ind w:left="2835"/>
        <w:jc w:val="both"/>
        <w:textAlignment w:val="baseline"/>
        <w:rPr>
          <w:i/>
          <w:color w:val="000000"/>
          <w:sz w:val="20"/>
          <w:szCs w:val="20"/>
        </w:rPr>
      </w:pPr>
      <w:r w:rsidRPr="00F35287">
        <w:rPr>
          <w:i/>
          <w:color w:val="000000"/>
          <w:sz w:val="20"/>
          <w:szCs w:val="20"/>
        </w:rPr>
        <w:t>a) à atualidade do certame;</w:t>
      </w:r>
    </w:p>
    <w:p w:rsidR="00F35287" w:rsidRPr="00F35287" w:rsidRDefault="00F35287" w:rsidP="00F35287">
      <w:pPr>
        <w:pStyle w:val="NormalWeb"/>
        <w:shd w:val="clear" w:color="auto" w:fill="FFFFFF"/>
        <w:spacing w:beforeAutospacing="0" w:afterAutospacing="0"/>
        <w:ind w:left="2835"/>
        <w:jc w:val="both"/>
        <w:textAlignment w:val="baseline"/>
        <w:rPr>
          <w:i/>
          <w:color w:val="000000"/>
          <w:sz w:val="20"/>
          <w:szCs w:val="20"/>
        </w:rPr>
      </w:pPr>
      <w:r w:rsidRPr="00F35287">
        <w:rPr>
          <w:i/>
          <w:color w:val="000000"/>
          <w:sz w:val="20"/>
          <w:szCs w:val="20"/>
        </w:rPr>
        <w:t>b) aos preços do licitante vencedor e sua compatibilidade com os preços de referência;</w:t>
      </w:r>
    </w:p>
    <w:p w:rsidR="00F35287" w:rsidRPr="00F35287" w:rsidRDefault="00F35287" w:rsidP="00F35287">
      <w:pPr>
        <w:pStyle w:val="NormalWeb"/>
        <w:shd w:val="clear" w:color="auto" w:fill="FFFFFF"/>
        <w:spacing w:beforeAutospacing="0" w:afterAutospacing="0"/>
        <w:ind w:left="2835"/>
        <w:jc w:val="both"/>
        <w:textAlignment w:val="baseline"/>
        <w:rPr>
          <w:i/>
          <w:color w:val="000000"/>
          <w:sz w:val="20"/>
          <w:szCs w:val="20"/>
        </w:rPr>
      </w:pPr>
      <w:r w:rsidRPr="00F35287">
        <w:rPr>
          <w:i/>
          <w:color w:val="000000"/>
          <w:sz w:val="20"/>
          <w:szCs w:val="20"/>
        </w:rPr>
        <w:t>c) ao respectivo enquadramento do objeto ajustado com o efetivamente licitado; e</w:t>
      </w:r>
    </w:p>
    <w:p w:rsidR="00F35287" w:rsidRPr="00F35287" w:rsidRDefault="00F35287" w:rsidP="00F35287">
      <w:pPr>
        <w:pStyle w:val="NormalWeb"/>
        <w:shd w:val="clear" w:color="auto" w:fill="FFFFFF"/>
        <w:spacing w:beforeAutospacing="0" w:afterAutospacing="0"/>
        <w:ind w:left="2835"/>
        <w:jc w:val="both"/>
        <w:textAlignment w:val="baseline"/>
        <w:rPr>
          <w:i/>
          <w:color w:val="000000"/>
          <w:sz w:val="20"/>
          <w:szCs w:val="20"/>
        </w:rPr>
      </w:pPr>
      <w:r w:rsidRPr="00F35287">
        <w:rPr>
          <w:i/>
          <w:color w:val="000000"/>
          <w:sz w:val="20"/>
          <w:szCs w:val="20"/>
        </w:rPr>
        <w:t>d) à declaração expressa do convenente, firmada por seu representante legal, ou registro no SICONV que a substitua, atestando o atendimento às disposições legais aplicáveis.</w:t>
      </w:r>
    </w:p>
    <w:p w:rsidR="00F35287" w:rsidRPr="00F35287" w:rsidRDefault="00F35287" w:rsidP="00F35287">
      <w:pPr>
        <w:pStyle w:val="NormalWeb"/>
        <w:shd w:val="clear" w:color="auto" w:fill="FFFFFF"/>
        <w:spacing w:beforeAutospacing="0" w:afterAutospacing="0"/>
        <w:ind w:left="2835"/>
        <w:jc w:val="both"/>
        <w:textAlignment w:val="baseline"/>
        <w:rPr>
          <w:i/>
          <w:color w:val="000000"/>
          <w:sz w:val="20"/>
          <w:szCs w:val="20"/>
        </w:rPr>
      </w:pPr>
      <w:r w:rsidRPr="00F35287">
        <w:rPr>
          <w:i/>
          <w:color w:val="000000"/>
          <w:sz w:val="20"/>
          <w:szCs w:val="20"/>
        </w:rPr>
        <w:t>[...]</w:t>
      </w:r>
    </w:p>
    <w:p w:rsidR="00F35287" w:rsidRPr="00F35287" w:rsidRDefault="00F35287" w:rsidP="00F35287">
      <w:pPr>
        <w:pStyle w:val="NormalWeb"/>
        <w:shd w:val="clear" w:color="auto" w:fill="FFFFFF"/>
        <w:spacing w:beforeAutospacing="0" w:afterAutospacing="0"/>
        <w:ind w:left="2835"/>
        <w:jc w:val="both"/>
        <w:textAlignment w:val="baseline"/>
        <w:rPr>
          <w:i/>
          <w:color w:val="000000"/>
          <w:sz w:val="20"/>
          <w:szCs w:val="20"/>
        </w:rPr>
      </w:pPr>
      <w:r w:rsidRPr="00F35287">
        <w:rPr>
          <w:i/>
          <w:color w:val="000000"/>
          <w:sz w:val="20"/>
          <w:szCs w:val="20"/>
          <w:shd w:val="clear" w:color="auto" w:fill="FFFFFF"/>
        </w:rPr>
        <w:t xml:space="preserve">4) De acordo com o disposto no inciso VII do art. 7º da PI nº 424, de 2016, </w:t>
      </w:r>
      <w:proofErr w:type="spellStart"/>
      <w:r w:rsidRPr="00F35287">
        <w:rPr>
          <w:i/>
          <w:color w:val="000000"/>
          <w:sz w:val="20"/>
          <w:szCs w:val="20"/>
          <w:shd w:val="clear" w:color="auto" w:fill="FFFFFF"/>
        </w:rPr>
        <w:t>é</w:t>
      </w:r>
      <w:proofErr w:type="spellEnd"/>
      <w:r w:rsidRPr="00F35287">
        <w:rPr>
          <w:i/>
          <w:color w:val="000000"/>
          <w:sz w:val="20"/>
          <w:szCs w:val="20"/>
          <w:shd w:val="clear" w:color="auto" w:fill="FFFFFF"/>
        </w:rPr>
        <w:t xml:space="preserve"> de inteira responsabilidade do convenente, realizar, sempre que optar pela execução indireta de obras e serviços, o processo licitatório nos termos da Lei nº 8.666, de 1993, e demais normas pertinentes à matéria, assegurando a correção dos procedimentos legais, a suficiência do projeto básico, da planilha orçamentária discriminativa do percentual de Encargos Sociais e de Bonificação e Despesas Indiretas - BDI utilizados, cada qual com o respectivo detalhamento de sua composição, por item de orçamento ou conjunto deles, além da disponibilização da contrapartida, quando for o caso.</w:t>
      </w:r>
    </w:p>
    <w:p w:rsidR="006B274F" w:rsidRDefault="009814E4" w:rsidP="00C91EBE">
      <w:pPr>
        <w:pStyle w:val="Standard"/>
        <w:tabs>
          <w:tab w:val="left" w:pos="708"/>
          <w:tab w:val="center" w:pos="4419"/>
          <w:tab w:val="right" w:pos="8838"/>
        </w:tabs>
        <w:spacing w:before="100"/>
        <w:ind w:firstLine="1134"/>
        <w:jc w:val="both"/>
        <w:rPr>
          <w:sz w:val="24"/>
        </w:rPr>
      </w:pPr>
      <w:r>
        <w:rPr>
          <w:sz w:val="24"/>
          <w:szCs w:val="24"/>
        </w:rPr>
        <w:t>Cabe ao Gestor</w:t>
      </w:r>
      <w:bookmarkStart w:id="0" w:name="_GoBack"/>
      <w:bookmarkEnd w:id="0"/>
      <w:r w:rsidR="009A4F3C">
        <w:rPr>
          <w:sz w:val="24"/>
          <w:szCs w:val="24"/>
        </w:rPr>
        <w:t xml:space="preserve"> a observação d</w:t>
      </w:r>
      <w:r w:rsidR="009A7993">
        <w:rPr>
          <w:sz w:val="24"/>
          <w:szCs w:val="24"/>
        </w:rPr>
        <w:t xml:space="preserve">as disposições da </w:t>
      </w:r>
      <w:r w:rsidR="009A7993">
        <w:rPr>
          <w:sz w:val="24"/>
        </w:rPr>
        <w:t>Portaria Interministerial n. 424/2016 e a Diretriz n. 01/2018 da Comissão Gestora do SICONV para fins de evitar recusa do aceite do processo licitat</w:t>
      </w:r>
      <w:r w:rsidR="009A4F3C">
        <w:rPr>
          <w:sz w:val="24"/>
        </w:rPr>
        <w:t>ório</w:t>
      </w:r>
      <w:r w:rsidR="004A0BE2">
        <w:rPr>
          <w:sz w:val="24"/>
        </w:rPr>
        <w:t xml:space="preserve"> nos convênios federais,</w:t>
      </w:r>
      <w:r w:rsidR="009A4F3C">
        <w:rPr>
          <w:sz w:val="24"/>
        </w:rPr>
        <w:t xml:space="preserve"> conforme </w:t>
      </w:r>
      <w:r w:rsidR="009A4F3C">
        <w:rPr>
          <w:color w:val="000000"/>
          <w:sz w:val="24"/>
          <w:szCs w:val="24"/>
        </w:rPr>
        <w:t>disposto na alínea b do inciso II do art. 41 da Portaria Ministerial 424/2016.</w:t>
      </w:r>
    </w:p>
    <w:p w:rsidR="00F35287" w:rsidRDefault="00F35287" w:rsidP="00B02853">
      <w:pPr>
        <w:pStyle w:val="Standard"/>
        <w:tabs>
          <w:tab w:val="left" w:pos="708"/>
          <w:tab w:val="center" w:pos="4419"/>
          <w:tab w:val="right" w:pos="8838"/>
        </w:tabs>
        <w:ind w:firstLine="142"/>
        <w:jc w:val="center"/>
        <w:rPr>
          <w:b/>
          <w:color w:val="000000"/>
          <w:sz w:val="24"/>
          <w:szCs w:val="24"/>
        </w:rPr>
      </w:pPr>
    </w:p>
    <w:p w:rsidR="00F35287" w:rsidRDefault="00F35287" w:rsidP="00B02853">
      <w:pPr>
        <w:pStyle w:val="Standard"/>
        <w:tabs>
          <w:tab w:val="left" w:pos="708"/>
          <w:tab w:val="center" w:pos="4419"/>
          <w:tab w:val="right" w:pos="8838"/>
        </w:tabs>
        <w:ind w:firstLine="142"/>
        <w:jc w:val="center"/>
        <w:rPr>
          <w:b/>
          <w:color w:val="000000"/>
          <w:sz w:val="24"/>
          <w:szCs w:val="24"/>
        </w:rPr>
      </w:pPr>
    </w:p>
    <w:p w:rsidR="00F35287" w:rsidRDefault="00F35287" w:rsidP="00B02853">
      <w:pPr>
        <w:pStyle w:val="Standard"/>
        <w:tabs>
          <w:tab w:val="left" w:pos="708"/>
          <w:tab w:val="center" w:pos="4419"/>
          <w:tab w:val="right" w:pos="8838"/>
        </w:tabs>
        <w:ind w:firstLine="142"/>
        <w:jc w:val="center"/>
        <w:rPr>
          <w:b/>
          <w:color w:val="000000"/>
          <w:sz w:val="24"/>
          <w:szCs w:val="24"/>
        </w:rPr>
      </w:pPr>
    </w:p>
    <w:p w:rsidR="00B02853" w:rsidRPr="00B02853" w:rsidRDefault="00B02853" w:rsidP="00B02853">
      <w:pPr>
        <w:pStyle w:val="Standard"/>
        <w:tabs>
          <w:tab w:val="left" w:pos="708"/>
          <w:tab w:val="center" w:pos="4419"/>
          <w:tab w:val="right" w:pos="8838"/>
        </w:tabs>
        <w:ind w:firstLine="142"/>
        <w:jc w:val="center"/>
        <w:rPr>
          <w:b/>
          <w:color w:val="000000"/>
          <w:sz w:val="24"/>
          <w:szCs w:val="24"/>
        </w:rPr>
      </w:pPr>
      <w:r w:rsidRPr="00B02853">
        <w:rPr>
          <w:b/>
          <w:color w:val="000000"/>
          <w:sz w:val="24"/>
          <w:szCs w:val="24"/>
        </w:rPr>
        <w:t>Auditor BORIS ALEXANDER GONÇALVES DE SOUZA</w:t>
      </w:r>
    </w:p>
    <w:p w:rsidR="00B02853" w:rsidRPr="00B02853" w:rsidRDefault="00B02853" w:rsidP="00B02853">
      <w:pPr>
        <w:pStyle w:val="Standard"/>
        <w:tabs>
          <w:tab w:val="left" w:pos="708"/>
          <w:tab w:val="center" w:pos="4419"/>
          <w:tab w:val="right" w:pos="8838"/>
        </w:tabs>
        <w:ind w:firstLine="142"/>
        <w:jc w:val="center"/>
        <w:rPr>
          <w:color w:val="000000"/>
          <w:sz w:val="24"/>
          <w:szCs w:val="24"/>
        </w:rPr>
      </w:pPr>
      <w:r w:rsidRPr="00B02853">
        <w:rPr>
          <w:color w:val="000000"/>
          <w:sz w:val="24"/>
          <w:szCs w:val="24"/>
        </w:rPr>
        <w:t>Controlador Geral do Município</w:t>
      </w:r>
    </w:p>
    <w:sectPr w:rsidR="00B02853" w:rsidRPr="00B02853" w:rsidSect="00F35287">
      <w:headerReference w:type="default" r:id="rId7"/>
      <w:footerReference w:type="default" r:id="rId8"/>
      <w:pgSz w:w="11906" w:h="16838"/>
      <w:pgMar w:top="1417" w:right="1701" w:bottom="993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ECC" w:rsidRDefault="005F1ECC">
      <w:r>
        <w:separator/>
      </w:r>
    </w:p>
  </w:endnote>
  <w:endnote w:type="continuationSeparator" w:id="0">
    <w:p w:rsidR="005F1ECC" w:rsidRDefault="005F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47" w:rsidRDefault="00993847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rPr>
        <w:rFonts w:ascii="Arial" w:hAnsi="Arial" w:cs="Arial"/>
      </w:rPr>
    </w:pPr>
  </w:p>
  <w:p w:rsidR="00FC5BF4" w:rsidRPr="006B278C" w:rsidRDefault="00FC5BF4" w:rsidP="00FC5BF4">
    <w:pPr>
      <w:pStyle w:val="Cabealho"/>
      <w:jc w:val="center"/>
    </w:pPr>
    <w:r w:rsidRPr="006B278C">
      <w:t xml:space="preserve">Av. Carlos Gomes, nº 2776 – São </w:t>
    </w:r>
    <w:proofErr w:type="gramStart"/>
    <w:r w:rsidRPr="006B278C">
      <w:t xml:space="preserve">Cristóvão </w:t>
    </w:r>
    <w:r w:rsidRPr="006B278C">
      <w:rPr>
        <w:rFonts w:eastAsia="Calibri"/>
      </w:rPr>
      <w:t xml:space="preserve"> </w:t>
    </w:r>
    <w:r w:rsidRPr="006B278C">
      <w:t>Tel.</w:t>
    </w:r>
    <w:proofErr w:type="gramEnd"/>
    <w:r w:rsidRPr="006B278C">
      <w:t xml:space="preserve"> (69) 3901-7243,CEP: 76.804-022 – Porto Velho/RO</w:t>
    </w:r>
  </w:p>
  <w:p w:rsidR="00FC5BF4" w:rsidRDefault="00FC5BF4" w:rsidP="00FC5BF4">
    <w:pPr>
      <w:pStyle w:val="Cabealho"/>
      <w:jc w:val="right"/>
    </w:pPr>
  </w:p>
  <w:p w:rsidR="00993847" w:rsidRDefault="00993847">
    <w:pPr>
      <w:pStyle w:val="Rodap"/>
      <w:jc w:val="right"/>
      <w:rPr>
        <w:rFonts w:cs="Franklin Gothic Mediu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ECC" w:rsidRDefault="005F1ECC">
      <w:r>
        <w:separator/>
      </w:r>
    </w:p>
  </w:footnote>
  <w:footnote w:type="continuationSeparator" w:id="0">
    <w:p w:rsidR="005F1ECC" w:rsidRDefault="005F1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"/>
      <w:gridCol w:w="7155"/>
    </w:tblGrid>
    <w:tr w:rsidR="00993847" w:rsidTr="00E90544">
      <w:trPr>
        <w:trHeight w:val="851"/>
      </w:trPr>
      <w:tc>
        <w:tcPr>
          <w:tcW w:w="992" w:type="dxa"/>
          <w:shd w:val="clear" w:color="auto" w:fill="auto"/>
        </w:tcPr>
        <w:p w:rsidR="00993847" w:rsidRDefault="001F5EE0">
          <w:pPr>
            <w:pStyle w:val="Cabealho"/>
            <w:rPr>
              <w:rFonts w:cs="Arial"/>
              <w:b/>
              <w:color w:val="000000"/>
              <w:sz w:val="24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0" distR="0">
                <wp:extent cx="517525" cy="484505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84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5" w:type="dxa"/>
          <w:shd w:val="clear" w:color="auto" w:fill="auto"/>
        </w:tcPr>
        <w:p w:rsidR="00993847" w:rsidRDefault="00993847" w:rsidP="004C310E">
          <w:pPr>
            <w:pStyle w:val="Cabealho"/>
            <w:jc w:val="center"/>
          </w:pPr>
          <w:r>
            <w:rPr>
              <w:rFonts w:cs="Arial"/>
              <w:b/>
              <w:color w:val="000000"/>
              <w:sz w:val="24"/>
            </w:rPr>
            <w:t>PREFEITURA DO MUNICÍPIO DE PORTO VELHO</w:t>
          </w:r>
        </w:p>
        <w:p w:rsidR="00993847" w:rsidRDefault="00993847" w:rsidP="004C310E">
          <w:pPr>
            <w:pStyle w:val="Cabealho"/>
            <w:jc w:val="center"/>
            <w:rPr>
              <w:rFonts w:cs="Arial"/>
              <w:b/>
              <w:color w:val="000000"/>
              <w:sz w:val="24"/>
            </w:rPr>
          </w:pPr>
          <w:r>
            <w:rPr>
              <w:rFonts w:cs="Arial"/>
              <w:b/>
              <w:color w:val="000000"/>
              <w:sz w:val="24"/>
            </w:rPr>
            <w:t xml:space="preserve">CONTROLADORIA GERAL DO MUNICÍPIO </w:t>
          </w:r>
          <w:r w:rsidR="00E90544">
            <w:rPr>
              <w:rFonts w:cs="Arial"/>
              <w:b/>
              <w:color w:val="000000"/>
              <w:sz w:val="24"/>
            </w:rPr>
            <w:t>–</w:t>
          </w:r>
          <w:r>
            <w:rPr>
              <w:rFonts w:cs="Arial"/>
              <w:b/>
              <w:color w:val="000000"/>
              <w:sz w:val="24"/>
            </w:rPr>
            <w:t xml:space="preserve"> CGM</w:t>
          </w:r>
        </w:p>
        <w:p w:rsidR="006962AF" w:rsidRDefault="00B02853" w:rsidP="00B306E1">
          <w:pPr>
            <w:pStyle w:val="Cabealho"/>
            <w:jc w:val="center"/>
          </w:pPr>
          <w:r>
            <w:rPr>
              <w:rFonts w:cs="Arial"/>
              <w:b/>
              <w:color w:val="000000"/>
              <w:sz w:val="24"/>
            </w:rPr>
            <w:t>ASSESSORIA TÉCNICA</w:t>
          </w:r>
        </w:p>
      </w:tc>
    </w:tr>
  </w:tbl>
  <w:p w:rsidR="00993847" w:rsidRDefault="00993847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</w:pPr>
  </w:p>
  <w:p w:rsidR="00993847" w:rsidRDefault="009938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9B"/>
    <w:rsid w:val="00031AF1"/>
    <w:rsid w:val="000657C2"/>
    <w:rsid w:val="00071CEB"/>
    <w:rsid w:val="00087FFB"/>
    <w:rsid w:val="000938E4"/>
    <w:rsid w:val="000E7723"/>
    <w:rsid w:val="000F0E35"/>
    <w:rsid w:val="00126A78"/>
    <w:rsid w:val="00142B9F"/>
    <w:rsid w:val="001871DC"/>
    <w:rsid w:val="001976EC"/>
    <w:rsid w:val="001A72B9"/>
    <w:rsid w:val="001C09D0"/>
    <w:rsid w:val="001D52BA"/>
    <w:rsid w:val="001E1A35"/>
    <w:rsid w:val="001E7867"/>
    <w:rsid w:val="001F5EE0"/>
    <w:rsid w:val="002319A7"/>
    <w:rsid w:val="00242802"/>
    <w:rsid w:val="0025501C"/>
    <w:rsid w:val="00267406"/>
    <w:rsid w:val="00275B1E"/>
    <w:rsid w:val="002831B8"/>
    <w:rsid w:val="00292018"/>
    <w:rsid w:val="002C4434"/>
    <w:rsid w:val="002D6BC8"/>
    <w:rsid w:val="002F7967"/>
    <w:rsid w:val="00300801"/>
    <w:rsid w:val="00303920"/>
    <w:rsid w:val="0034767A"/>
    <w:rsid w:val="003805AC"/>
    <w:rsid w:val="00424528"/>
    <w:rsid w:val="00433C7F"/>
    <w:rsid w:val="00441621"/>
    <w:rsid w:val="00446F22"/>
    <w:rsid w:val="0046398A"/>
    <w:rsid w:val="00470B96"/>
    <w:rsid w:val="004A0BE2"/>
    <w:rsid w:val="004C310E"/>
    <w:rsid w:val="004E3752"/>
    <w:rsid w:val="004F1CE9"/>
    <w:rsid w:val="004F7128"/>
    <w:rsid w:val="005245EA"/>
    <w:rsid w:val="00527CC0"/>
    <w:rsid w:val="005744C7"/>
    <w:rsid w:val="005C17D1"/>
    <w:rsid w:val="005D75B0"/>
    <w:rsid w:val="005F1ECC"/>
    <w:rsid w:val="00604576"/>
    <w:rsid w:val="00607939"/>
    <w:rsid w:val="00615321"/>
    <w:rsid w:val="0063416F"/>
    <w:rsid w:val="0064026A"/>
    <w:rsid w:val="006520AC"/>
    <w:rsid w:val="00654BF4"/>
    <w:rsid w:val="00664785"/>
    <w:rsid w:val="006962AF"/>
    <w:rsid w:val="006B274F"/>
    <w:rsid w:val="006C0D44"/>
    <w:rsid w:val="006E0166"/>
    <w:rsid w:val="00707045"/>
    <w:rsid w:val="00730AF9"/>
    <w:rsid w:val="0077374C"/>
    <w:rsid w:val="007955CF"/>
    <w:rsid w:val="007A2BB9"/>
    <w:rsid w:val="007C4684"/>
    <w:rsid w:val="007D0E9B"/>
    <w:rsid w:val="007E1F82"/>
    <w:rsid w:val="007F22E9"/>
    <w:rsid w:val="0081757E"/>
    <w:rsid w:val="00840959"/>
    <w:rsid w:val="00851AA6"/>
    <w:rsid w:val="008B5EE2"/>
    <w:rsid w:val="009427D2"/>
    <w:rsid w:val="00972A25"/>
    <w:rsid w:val="009814E4"/>
    <w:rsid w:val="009875C3"/>
    <w:rsid w:val="00993847"/>
    <w:rsid w:val="009A2B10"/>
    <w:rsid w:val="009A4F3C"/>
    <w:rsid w:val="009A5713"/>
    <w:rsid w:val="009A7993"/>
    <w:rsid w:val="00A00A90"/>
    <w:rsid w:val="00A72376"/>
    <w:rsid w:val="00A84613"/>
    <w:rsid w:val="00A92188"/>
    <w:rsid w:val="00AA222E"/>
    <w:rsid w:val="00B02853"/>
    <w:rsid w:val="00B06874"/>
    <w:rsid w:val="00B214C1"/>
    <w:rsid w:val="00B306E1"/>
    <w:rsid w:val="00B44D2E"/>
    <w:rsid w:val="00B71DD1"/>
    <w:rsid w:val="00B92760"/>
    <w:rsid w:val="00BE739B"/>
    <w:rsid w:val="00BF30D7"/>
    <w:rsid w:val="00BF3F0F"/>
    <w:rsid w:val="00C24C80"/>
    <w:rsid w:val="00C66E7E"/>
    <w:rsid w:val="00C70F90"/>
    <w:rsid w:val="00C878C2"/>
    <w:rsid w:val="00C91EBE"/>
    <w:rsid w:val="00CB207D"/>
    <w:rsid w:val="00CC6ED6"/>
    <w:rsid w:val="00CD22A0"/>
    <w:rsid w:val="00D057E3"/>
    <w:rsid w:val="00D24580"/>
    <w:rsid w:val="00D305D1"/>
    <w:rsid w:val="00D46209"/>
    <w:rsid w:val="00D82484"/>
    <w:rsid w:val="00D87933"/>
    <w:rsid w:val="00D900EB"/>
    <w:rsid w:val="00DB20FA"/>
    <w:rsid w:val="00DB6163"/>
    <w:rsid w:val="00E17912"/>
    <w:rsid w:val="00E21E80"/>
    <w:rsid w:val="00E656FD"/>
    <w:rsid w:val="00E847F4"/>
    <w:rsid w:val="00E90544"/>
    <w:rsid w:val="00E93DB0"/>
    <w:rsid w:val="00EA076D"/>
    <w:rsid w:val="00EB3AC1"/>
    <w:rsid w:val="00EC6DFE"/>
    <w:rsid w:val="00EE3CDC"/>
    <w:rsid w:val="00EE6561"/>
    <w:rsid w:val="00EF53C9"/>
    <w:rsid w:val="00EF55CC"/>
    <w:rsid w:val="00F237EF"/>
    <w:rsid w:val="00F35287"/>
    <w:rsid w:val="00FA43F6"/>
    <w:rsid w:val="00FC5BF4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oNotEmbedSmartTags/>
  <w:decimalSymbol w:val=","/>
  <w:listSeparator w:val=";"/>
  <w15:chartTrackingRefBased/>
  <w15:docId w15:val="{93D7D2A5-E5FE-437D-A067-D91C8A0C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spelle">
    <w:name w:val="spelle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  <w:lang w:eastAsia="zh-C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744C7"/>
    <w:rPr>
      <w:color w:val="0563C1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rsid w:val="00B306E1"/>
    <w:rPr>
      <w:rFonts w:ascii="Arial" w:hAnsi="Arial" w:cs="Arial"/>
      <w:sz w:val="24"/>
      <w:lang w:eastAsia="zh-CN"/>
    </w:rPr>
  </w:style>
  <w:style w:type="paragraph" w:customStyle="1" w:styleId="Corpodetexto31">
    <w:name w:val="Corpo de texto 31"/>
    <w:basedOn w:val="Normal"/>
    <w:rsid w:val="00B306E1"/>
    <w:pPr>
      <w:spacing w:after="120"/>
    </w:pPr>
    <w:rPr>
      <w:rFonts w:ascii="Arial" w:hAnsi="Arial" w:cs="Arial"/>
      <w:color w:val="000000"/>
      <w:sz w:val="16"/>
      <w:szCs w:val="16"/>
    </w:rPr>
  </w:style>
  <w:style w:type="paragraph" w:customStyle="1" w:styleId="Standard">
    <w:name w:val="Standard"/>
    <w:rsid w:val="00B306E1"/>
    <w:pPr>
      <w:suppressAutoHyphens/>
    </w:pPr>
    <w:rPr>
      <w:kern w:val="2"/>
      <w:lang w:eastAsia="zh-CN"/>
    </w:rPr>
  </w:style>
  <w:style w:type="character" w:customStyle="1" w:styleId="CabealhoChar">
    <w:name w:val="Cabeçalho Char"/>
    <w:link w:val="Cabealho"/>
    <w:rsid w:val="00B306E1"/>
    <w:rPr>
      <w:lang w:eastAsia="zh-CN"/>
    </w:rPr>
  </w:style>
  <w:style w:type="table" w:styleId="Tabelacomgrade">
    <w:name w:val="Table Grid"/>
    <w:basedOn w:val="Tabelanormal"/>
    <w:uiPriority w:val="39"/>
    <w:rsid w:val="00093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0">
    <w:name w:val="B_0"/>
    <w:basedOn w:val="Normal"/>
    <w:rsid w:val="00E656FD"/>
    <w:pPr>
      <w:suppressAutoHyphens w:val="0"/>
      <w:ind w:firstLine="1418"/>
      <w:jc w:val="both"/>
    </w:pPr>
    <w:rPr>
      <w:sz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54BF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528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1345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108/ASTEC/GAB/CGM                         Porto Velho/RO, 03 de março de 2009</vt:lpstr>
    </vt:vector>
  </TitlesOfParts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108/ASTEC/GAB/CGM                         Porto Velho/RO, 03 de março de 2009</dc:title>
  <dc:subject/>
  <dc:creator>Prefeitura</dc:creator>
  <cp:keywords/>
  <cp:lastModifiedBy>Barbara Mendonça Santana de Oliveira</cp:lastModifiedBy>
  <cp:revision>5</cp:revision>
  <cp:lastPrinted>2018-09-10T17:21:00Z</cp:lastPrinted>
  <dcterms:created xsi:type="dcterms:W3CDTF">2018-09-05T17:44:00Z</dcterms:created>
  <dcterms:modified xsi:type="dcterms:W3CDTF">2018-09-10T17:21:00Z</dcterms:modified>
</cp:coreProperties>
</file>